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05-</w:t>
      </w:r>
      <w:r>
        <w:rPr>
          <w:rFonts w:ascii="Times New Roman" w:eastAsia="Times New Roman" w:hAnsi="Times New Roman" w:cs="Times New Roman"/>
        </w:rPr>
        <w:t>079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</w:t>
      </w:r>
    </w:p>
    <w:p>
      <w:pPr>
        <w:spacing w:before="0" w:after="0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 назначении административного наказания 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город Сургут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27 мая 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Бордунов М.Б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находящийся по адресу: ХМАО-Югра, г. Сургут, ул. Гагарина, д.9, каб. </w:t>
      </w:r>
      <w:r>
        <w:rPr>
          <w:rFonts w:ascii="Times New Roman" w:eastAsia="Times New Roman" w:hAnsi="Times New Roman" w:cs="Times New Roman"/>
          <w:sz w:val="27"/>
          <w:szCs w:val="27"/>
        </w:rPr>
        <w:t>308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 участием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</w:t>
      </w:r>
      <w:r>
        <w:rPr>
          <w:rFonts w:ascii="Times New Roman" w:eastAsia="Times New Roman" w:hAnsi="Times New Roman" w:cs="Times New Roman"/>
          <w:sz w:val="27"/>
          <w:szCs w:val="27"/>
        </w:rPr>
        <w:t>представителя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административного органа </w:t>
      </w:r>
      <w:r>
        <w:rPr>
          <w:rFonts w:ascii="Times New Roman" w:eastAsia="Times New Roman" w:hAnsi="Times New Roman" w:cs="Times New Roman"/>
          <w:sz w:val="27"/>
          <w:szCs w:val="27"/>
        </w:rPr>
        <w:t>ФГКУ «Управление вневедомственной охраны войск национальной гвардии РФ по ХМАО-Югре» Кондратьевой О.А.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материалы дела об административном правонарушении,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предусмотренном ч.1 ст. 20.35 Кодекса Российской Федерации об а</w:t>
      </w:r>
      <w:r>
        <w:rPr>
          <w:rFonts w:ascii="Times New Roman" w:eastAsia="Times New Roman" w:hAnsi="Times New Roman" w:cs="Times New Roman"/>
          <w:sz w:val="27"/>
          <w:szCs w:val="27"/>
        </w:rPr>
        <w:t>дминистративных правонарушениях:</w:t>
      </w:r>
    </w:p>
    <w:p>
      <w:pPr>
        <w:widowControl w:val="0"/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должностного лица – </w:t>
      </w:r>
      <w:r>
        <w:rPr>
          <w:rStyle w:val="cat-UserDefinedgrp-40rplc-7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Светланы Викторовны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41rplc-12"/>
          <w:rFonts w:ascii="Times New Roman" w:eastAsia="Times New Roman" w:hAnsi="Times New Roman" w:cs="Times New Roman"/>
          <w:sz w:val="27"/>
          <w:szCs w:val="27"/>
        </w:rPr>
        <w:t>...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13 марта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2026 года в 12 часов 37 минут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установлено, что должностное лицо - </w:t>
      </w:r>
      <w:r>
        <w:rPr>
          <w:rStyle w:val="cat-UserDefinedgrp-42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предприняла все зависящие от нее меры по соблюдению исполнения законодательства в области обеспечения антитеррористической защищенности объекта образования </w:t>
      </w:r>
      <w:r>
        <w:rPr>
          <w:rStyle w:val="cat-UserDefinedgrp-43rplc-22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расположенного по адресу: </w:t>
      </w:r>
      <w:r>
        <w:rPr>
          <w:rStyle w:val="cat-UserDefinedgrp-44rplc-2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а следовательно, совершила административное правонарушение, ответственность за которое предусмотрена частью 1 статьи 20.35 Кодекса Российской Федерации об административных правонарушениях - нарушение требований к антитеррористической защищенности объектов (территорий), за исключением случаев, предусмотренных частью 2 статьи 20.35, статьями 11.15.1 и 20.30 КоАП РФ, если эти действия не содержат признаков уголовно наказуемого деяния, выразившееся в форме бездействия в виде неисполнения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«д» п. 24, п. 31 ПП 1006, а именно в не оборудовании </w:t>
      </w:r>
      <w:r>
        <w:rPr>
          <w:rFonts w:ascii="Times New Roman" w:eastAsia="Times New Roman" w:hAnsi="Times New Roman" w:cs="Times New Roman"/>
          <w:sz w:val="27"/>
          <w:szCs w:val="27"/>
        </w:rPr>
        <w:t>объекта (территории) автономной системой оповещения и управления эвакуацией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дей в любой точке объекта (территории). Действие (бездействие) директора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Светланы Викторовны не относятся к случаям, предусмотренным ч. 2 ст. 20.35 КоАП РФ, статьям 11.15.1 и 20.30 КоАП РФ, и не содержат признаков уголовно наказуемого деяния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Шайдурова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С.В</w:t>
      </w:r>
      <w:r>
        <w:rPr>
          <w:rFonts w:ascii="Times New Roman" w:eastAsia="Times New Roman" w:hAnsi="Times New Roman" w:cs="Times New Roman"/>
          <w:sz w:val="27"/>
          <w:szCs w:val="27"/>
        </w:rPr>
        <w:t>. в судебно</w:t>
      </w: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заседани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пояснила,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настоящее время предприняты все меры для скорейшего решения вопроса для оборудования объекта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автономной системой оповещения и управления эвакуацией работников, </w:t>
      </w:r>
      <w:r>
        <w:rPr>
          <w:rFonts w:ascii="Times New Roman" w:eastAsia="Times New Roman" w:hAnsi="Times New Roman" w:cs="Times New Roman"/>
          <w:sz w:val="27"/>
          <w:szCs w:val="27"/>
        </w:rPr>
        <w:t>обучающихся и иных лиц, находящихся на объекте (территории), о потенциальной угрозе возникновения или о возникновении чрезвычайной ситуации, обеспечивающей оповещение лю</w:t>
      </w:r>
      <w:r>
        <w:rPr>
          <w:rFonts w:ascii="Times New Roman" w:eastAsia="Times New Roman" w:hAnsi="Times New Roman" w:cs="Times New Roman"/>
          <w:sz w:val="27"/>
          <w:szCs w:val="27"/>
        </w:rPr>
        <w:t>дей в любой точке объекта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Представитель административного органа ФГКУ «Управление вневедомственной охраны войск национальной гвардии РФ по ХМАО-Югре» Кондратьева О.А. в судебном заседании поддержала доводы, изложенные в протоколе об административном правонарушении.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Изучив материалы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заслушав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С.В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., представителя административного органа,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 пришел к следующим выводам.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 Концепцией противодействия терроризму в РФ, утвержденной Президентом РФ 05.10.2009 общегосударственная система противодействия терроризму представляет собой совокупность субъектов противодействия терроризму и нормативных правовых актов, регулирующих их деятельность по выявлению, предупреждению (профилактике), пресечению, раскрытию и расследованию террористической деятельности, минимизации и (или) ликвидации последствий проявлений терроризма. Субъектами противодействия терроризму являются уполномоченные органы государственной власти и органы местного самоуправления, в компетенцию которых входит проведение мероприятий по противодействию терроризму, негосударственные организации и объединения.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со статьей 1 Федерального закона от 6 марта 2006 года № 35-ФЗ «О противодействии терроризму», правовую основу противодействия терроризму составляют Конституция Российской Федерации, общепризнанные принципы и нормы международного права,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нормативные правовые акты Правительства Российской Федерации, а также принимаемые в соответствии с ними нормативные правовые акты других федеральных органов государственной власти.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4 ст. 3 Федерального закона от 06.03.2006 № 35-ФЗ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>«О противодействии терроризму», противодействие терроризму это деятельность органов государственной власти и органов местного самоуправления, а также физических и юридических лиц по: а) 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 б) выявлению, предупреждению, пресечению, раскрытию и расследованию террористического акта (борьба с терроризмом); в) минимизации и (или) ликвидации последствий проявлений терроризма.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п.6 ст.3 Федерального закона от 06.03.2006 № 35-ФЗ </w:t>
      </w:r>
      <w:r>
        <w:rPr>
          <w:rFonts w:ascii="Times New Roman" w:eastAsia="Times New Roman" w:hAnsi="Times New Roman" w:cs="Times New Roman"/>
          <w:sz w:val="27"/>
          <w:szCs w:val="27"/>
        </w:rPr>
        <w:br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«О противодействии терроризму» антитеррористическая защищенность объекта (территории) - состояние защищенности здания, строения, сооружения, иного объекта, места массового пребывания людей, препятствующее совершению террористического акта.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На основании пункта 4 части 2 статьи 5 Федерального закона от 6 марта 2006 года № 35-ФЗ «О противодействии терроризму», Правительство Российской Федерации устанавливает обязательные для выполнения требования к антитеррористической защищенности объектов (территорий), категории объектов (территорий), порядок разработки указанных требований и контроля за их выполне</w:t>
      </w:r>
      <w:r>
        <w:rPr>
          <w:rFonts w:ascii="Times New Roman" w:eastAsia="Times New Roman" w:hAnsi="Times New Roman" w:cs="Times New Roman"/>
          <w:sz w:val="27"/>
          <w:szCs w:val="27"/>
        </w:rPr>
        <w:t>нием, порядок разработки и форму паспорта безопасности таких объектов (территорий) (за исключением объектов транспортной инфраструктуры, транспортных средств и объектов топливно-энергетического комплекса).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Требования к антите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утверждены </w:t>
      </w:r>
      <w:r>
        <w:rPr>
          <w:rFonts w:ascii="Times New Roman" w:eastAsia="Times New Roman" w:hAnsi="Times New Roman" w:cs="Times New Roman"/>
          <w:sz w:val="27"/>
          <w:szCs w:val="27"/>
        </w:rPr>
        <w:t>Постановлением Правительства РФ от 02.08.2019 г.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ПП 1006)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</w:t>
      </w:r>
      <w:r>
        <w:rPr>
          <w:rFonts w:ascii="Times New Roman" w:eastAsia="Times New Roman" w:hAnsi="Times New Roman" w:cs="Times New Roman"/>
          <w:sz w:val="27"/>
          <w:szCs w:val="27"/>
        </w:rPr>
        <w:t>требованиям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п. 5 ПП 1006, 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 правообладателями объектов (территорий), а также на должностных лиц, осуществляющих непосредственное руководство деятельностью работников на объектах (территориях).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п. 6 ПП 1006 в целях установления дифференцированных требований к антитеррористической защищенности объектов (территорий) с учетом возможных последствий совершения террористического акта проводится категорирование объектов (территорий).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15 ПП 1006 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председателем комиссии не позднее последнего дня работы комиссии. Акт обследования и категорирования объекта (территории) составляется в 2 экземплярах и является основанием для разработки, а также неотъемлемой частью паспорта безопасности объекта (территории).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>. «д» п. 24 ПП 1006 в целях обеспечения антитеррористической защищенности объектов (территорий) осуществляются мероприятия по оборудованию объектов (территорий)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п. 31 ПП 1006 система оповещения и управления эвакуацией людей на объекте (территории) должна обеспечивать оперативное информирование лиц, находящихся на объекте (территории), о необходимости эвакуации и других действиях, обеспечивающих безопасность людей и предотвращение паники. Системы оповещения и управления эвакуацией людей должны быть автономными и оборудованы источниками бесперебойного электропитания. В любой точке объекта (территории), где требуется оповещение людей, уровень громкости, формируемый звуковыми и речевыми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оповещателями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должен быть выше допустимого уровня шума. Речевые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должны быть расположены таким образом, чтобы в любой точке объекта (территории), где требуется оповещение людей, обеспечивалась разборчивость передаваемой речевой информации.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Таким образом, объекты (территории), относящиеся к сфере деятельности Министерства просвещения Российской Федерации, должны быть оборудованы </w:t>
      </w:r>
      <w:r>
        <w:rPr>
          <w:rFonts w:ascii="Times New Roman" w:eastAsia="Times New Roman" w:hAnsi="Times New Roman" w:cs="Times New Roman"/>
          <w:sz w:val="27"/>
          <w:szCs w:val="27"/>
        </w:rPr>
        <w:t>помимо источников бесперебойного электропитания именно автономными системами оповещения и управления эвакуацией либо автономными системами (средствами) экстренного оповещения работников, обучающихся и иных лиц, находящихся на объекте (территории), о потенциальной угрозе возникновения или о возникновении чрезвычайной ситуации. Установленные на объектах образования системы оповещение и управления эвакуацией для целей оповещения людей при пожаре, чрезвычайных ситуациях (гражданской обороны) не могут подменять собой системы для оповещения людей при совершении или угрозе совершения террористического акта, а также его проявлений.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Актом обследования и категорирования объекта (территории) от 18 марта 2026 года,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объекту образования </w:t>
      </w:r>
      <w:r>
        <w:rPr>
          <w:rStyle w:val="cat-UserDefinedgrp-45rplc-3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подтверждена 4 категория опасности.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Согласно Акта обследования и категорирования объекта (территории) от 18 марта 2026 года объект </w:t>
      </w:r>
      <w:r>
        <w:rPr>
          <w:rStyle w:val="cat-UserDefinedgrp-43rplc-3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оборудован системой охранно-пожарной сигнализации и системой оповещения о пожаре, которая не является автономной системой оповещения и управления эвакуацией людей, и, кроме того, не обеспечивает оперативное информирование лиц, находящихся на территории объекта, о необходимости эвакуации и других действиях, обеспечивающих безопасность людей и предотвращение паники, так как на прилегающей к объекту территории речевые </w:t>
      </w:r>
      <w:r>
        <w:rPr>
          <w:rFonts w:ascii="Times New Roman" w:eastAsia="Times New Roman" w:hAnsi="Times New Roman" w:cs="Times New Roman"/>
          <w:sz w:val="27"/>
          <w:szCs w:val="27"/>
        </w:rPr>
        <w:t>оповещатели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отсутствуют, что свидетельствует о 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>пп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«д» п. 24 , п. 31 ПП 1006.</w:t>
      </w:r>
    </w:p>
    <w:p>
      <w:pPr>
        <w:spacing w:before="0" w:after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Невыполнение требований к антитеррористической защищенности объекта свидетельствует о нарушении законодательства о противодействии терроризму, создает угрозу жизни и здоровью неопределенного круга лиц, невозможность своевременного предупреждения и устранения последствий совершения террористического акта, противоречит охраняемым законом интересам общества и государства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Вина лица, привлекаемого к административной ответственности, подтверждается следующими документами: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протоколом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07.05.2026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г.;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копией рапорта об обнаружении признаков правонарушения;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уведомлением о явке;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паспорта;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справкой на лицо;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документов о назначении на должность, должностной инструкции, трудового договора и дополнительными соглашениями;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ЕГРЮЛ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копией </w:t>
      </w:r>
      <w:r>
        <w:rPr>
          <w:rFonts w:ascii="Times New Roman" w:eastAsia="Times New Roman" w:hAnsi="Times New Roman" w:cs="Times New Roman"/>
          <w:sz w:val="27"/>
          <w:szCs w:val="27"/>
        </w:rPr>
        <w:t>свидетельства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устава;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реестра лицензий;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свидетельства о государственной регистрации права;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выпиской из Единого государственного реестра налогоплательщиков;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ями </w:t>
      </w:r>
      <w:r>
        <w:rPr>
          <w:rFonts w:ascii="Times New Roman" w:eastAsia="Times New Roman" w:hAnsi="Times New Roman" w:cs="Times New Roman"/>
          <w:sz w:val="27"/>
          <w:szCs w:val="27"/>
        </w:rPr>
        <w:t>приказ</w:t>
      </w:r>
      <w:r>
        <w:rPr>
          <w:rFonts w:ascii="Times New Roman" w:eastAsia="Times New Roman" w:hAnsi="Times New Roman" w:cs="Times New Roman"/>
          <w:sz w:val="27"/>
          <w:szCs w:val="27"/>
        </w:rPr>
        <w:t>ов с приложениями</w:t>
      </w:r>
      <w:r>
        <w:rPr>
          <w:rFonts w:ascii="Times New Roman" w:eastAsia="Times New Roman" w:hAnsi="Times New Roman" w:cs="Times New Roman"/>
          <w:sz w:val="27"/>
          <w:szCs w:val="27"/>
        </w:rPr>
        <w:t>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перепиской об обследовании объекта;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копией рапорта об обследовании объекта;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актом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обследования </w:t>
      </w:r>
      <w:r>
        <w:rPr>
          <w:rFonts w:ascii="Times New Roman" w:eastAsia="Times New Roman" w:hAnsi="Times New Roman" w:cs="Times New Roman"/>
          <w:sz w:val="27"/>
          <w:szCs w:val="27"/>
        </w:rPr>
        <w:t>в рамках актуализации паспорта безопасности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объекта;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исполнительной документацией по охранно-пожарной сигнализации и систем оповещения и управления эвакуацией людей при пожаре;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 и другими материалами дела.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Каких-либо нарушений при составлении постановления о возбуждении дела об административном правонарушении, мировым судьей не установлено, протокол составлен уполномоченным должностным лицом, существенных нарушений требования закона, влекущих признание протокола недопустимым доказательством, при его составлении не допущено.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соответствии со ст.2.4 КоАП РФ к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должностного лица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Style w:val="cat-UserDefinedgrp-46rplc-4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Светланы Викторовны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подлежат квалификации по ч. 1 ст. 20.35 КоАП РФ как нарушение требований к антитеррористической защищенности объектов (территорий), за исключением случаев, предусмотренных </w:t>
      </w:r>
      <w:hyperlink w:anchor="sub_20350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частью 2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настоящей статьи, </w:t>
      </w:r>
      <w:hyperlink w:anchor="sub_11151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статьями 11.15.1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и </w:t>
      </w:r>
      <w:hyperlink w:anchor="sub_203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20.30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 xml:space="preserve"> настоящего Кодекса, если эти действия не содержат признаков уголовно наказуемого деяния.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смягчающи</w:t>
      </w:r>
      <w:r>
        <w:rPr>
          <w:rFonts w:ascii="Times New Roman" w:eastAsia="Times New Roman" w:hAnsi="Times New Roman" w:cs="Times New Roman"/>
          <w:sz w:val="27"/>
          <w:szCs w:val="27"/>
        </w:rPr>
        <w:t>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административную ответственность, согласно ст. 4.2 КоАП РФ, суд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 усматривает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отягчающих административную ответственность, согласно ст. 4.3 КоАП РФ, судом не установлено.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 определении меры наказания суд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На основании изложенного и 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29.9-29.11 КоАП РФ, мировой судья</w:t>
      </w:r>
    </w:p>
    <w:p>
      <w:pPr>
        <w:spacing w:before="0" w:after="0"/>
        <w:ind w:left="142" w:hanging="142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Признать должное лицо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Style w:val="cat-UserDefinedgrp-46rplc-43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Шайдурову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Светлану Викторовну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виновн</w:t>
      </w:r>
      <w:r>
        <w:rPr>
          <w:rFonts w:ascii="Times New Roman" w:eastAsia="Times New Roman" w:hAnsi="Times New Roman" w:cs="Times New Roman"/>
          <w:sz w:val="27"/>
          <w:szCs w:val="27"/>
        </w:rPr>
        <w:t>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ч.1 ст. 20.35 Кодекса Российской Федерации об административных правонарушениях, и назначить административное наказание в виде административного штрафа в размере 30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000 (</w:t>
      </w:r>
      <w:r>
        <w:rPr>
          <w:rFonts w:ascii="Times New Roman" w:eastAsia="Times New Roman" w:hAnsi="Times New Roman" w:cs="Times New Roman"/>
          <w:sz w:val="27"/>
          <w:szCs w:val="27"/>
        </w:rPr>
        <w:t>т</w:t>
      </w:r>
      <w:r>
        <w:rPr>
          <w:rFonts w:ascii="Times New Roman" w:eastAsia="Times New Roman" w:hAnsi="Times New Roman" w:cs="Times New Roman"/>
          <w:sz w:val="27"/>
          <w:szCs w:val="27"/>
        </w:rPr>
        <w:t>ридцать тысяч) рублей 00 копеек.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штраф перечислять на реквизиты: получатель: </w:t>
      </w:r>
      <w:r>
        <w:rPr>
          <w:rFonts w:ascii="Times New Roman" w:eastAsia="Times New Roman" w:hAnsi="Times New Roman" w:cs="Times New Roman"/>
          <w:sz w:val="27"/>
          <w:szCs w:val="27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04872D08080), наименование б</w:t>
      </w:r>
      <w:r>
        <w:rPr>
          <w:rFonts w:ascii="Times New Roman" w:eastAsia="Times New Roman" w:hAnsi="Times New Roman" w:cs="Times New Roman"/>
          <w:sz w:val="27"/>
          <w:szCs w:val="27"/>
        </w:rPr>
        <w:t>анк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: </w:t>
      </w:r>
      <w:r>
        <w:rPr>
          <w:rFonts w:ascii="Times New Roman" w:eastAsia="Times New Roman" w:hAnsi="Times New Roman" w:cs="Times New Roman"/>
          <w:sz w:val="27"/>
          <w:szCs w:val="27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7"/>
          <w:szCs w:val="27"/>
        </w:rPr>
        <w:t>, счет получателя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(номер казначейского счета): </w:t>
      </w:r>
      <w:r>
        <w:rPr>
          <w:rFonts w:ascii="Times New Roman" w:eastAsia="Times New Roman" w:hAnsi="Times New Roman" w:cs="Times New Roman"/>
          <w:sz w:val="27"/>
          <w:szCs w:val="27"/>
        </w:rPr>
        <w:t>03100643000000018700</w:t>
      </w:r>
      <w:r>
        <w:rPr>
          <w:rFonts w:ascii="Times New Roman" w:eastAsia="Times New Roman" w:hAnsi="Times New Roman" w:cs="Times New Roman"/>
          <w:sz w:val="27"/>
          <w:szCs w:val="27"/>
        </w:rPr>
        <w:t>, банковский счет, входящий в состав единого казначейского счета (ЕКС)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40102810245370000007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БИК </w:t>
      </w:r>
      <w:r>
        <w:rPr>
          <w:rFonts w:ascii="Times New Roman" w:eastAsia="Times New Roman" w:hAnsi="Times New Roman" w:cs="Times New Roman"/>
          <w:sz w:val="27"/>
          <w:szCs w:val="27"/>
        </w:rPr>
        <w:t>007162163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ОКТМО 71876000, ИНН </w:t>
      </w:r>
      <w:r>
        <w:rPr>
          <w:rFonts w:ascii="Times New Roman" w:eastAsia="Times New Roman" w:hAnsi="Times New Roman" w:cs="Times New Roman"/>
          <w:sz w:val="27"/>
          <w:szCs w:val="27"/>
        </w:rPr>
        <w:t>8601073664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КПП </w:t>
      </w:r>
      <w:r>
        <w:rPr>
          <w:rFonts w:ascii="Times New Roman" w:eastAsia="Times New Roman" w:hAnsi="Times New Roman" w:cs="Times New Roman"/>
          <w:sz w:val="27"/>
          <w:szCs w:val="27"/>
        </w:rPr>
        <w:t>860101001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КБК </w:t>
      </w:r>
      <w:r>
        <w:rPr>
          <w:rFonts w:ascii="Times New Roman" w:eastAsia="Times New Roman" w:hAnsi="Times New Roman" w:cs="Times New Roman"/>
          <w:sz w:val="27"/>
          <w:szCs w:val="27"/>
        </w:rPr>
        <w:t>72011601203019000140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УИН </w:t>
      </w:r>
      <w:r>
        <w:rPr>
          <w:rFonts w:ascii="Times New Roman" w:eastAsia="Times New Roman" w:hAnsi="Times New Roman" w:cs="Times New Roman"/>
          <w:sz w:val="27"/>
          <w:szCs w:val="27"/>
        </w:rPr>
        <w:t>0412365400575007972620173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Копия квитанции предоставляется в каб.105 д. 9 по ул. Гагарина г.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Сургутский городской суд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2 Сургутского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ind w:firstLine="708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>М.Б. Бордунов</w:t>
      </w:r>
    </w:p>
    <w:p>
      <w:pPr>
        <w:spacing w:before="0" w:after="0"/>
        <w:jc w:val="both"/>
        <w:rPr>
          <w:sz w:val="16"/>
          <w:szCs w:val="16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27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мая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079</w:t>
      </w:r>
      <w:r>
        <w:rPr>
          <w:rFonts w:ascii="Times New Roman" w:eastAsia="Times New Roman" w:hAnsi="Times New Roman" w:cs="Times New Roman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160487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>
    <w:doNotExpandShiftReturn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40rplc-7">
    <w:name w:val="cat-UserDefined grp-40 rplc-7"/>
    <w:basedOn w:val="DefaultParagraphFont"/>
  </w:style>
  <w:style w:type="character" w:customStyle="1" w:styleId="cat-UserDefinedgrp-41rplc-12">
    <w:name w:val="cat-UserDefined grp-41 rplc-12"/>
    <w:basedOn w:val="DefaultParagraphFont"/>
  </w:style>
  <w:style w:type="character" w:customStyle="1" w:styleId="cat-UserDefinedgrp-42rplc-19">
    <w:name w:val="cat-UserDefined grp-42 rplc-19"/>
    <w:basedOn w:val="DefaultParagraphFont"/>
  </w:style>
  <w:style w:type="character" w:customStyle="1" w:styleId="cat-UserDefinedgrp-43rplc-22">
    <w:name w:val="cat-UserDefined grp-43 rplc-22"/>
    <w:basedOn w:val="DefaultParagraphFont"/>
  </w:style>
  <w:style w:type="character" w:customStyle="1" w:styleId="cat-UserDefinedgrp-44rplc-24">
    <w:name w:val="cat-UserDefined grp-44 rplc-24"/>
    <w:basedOn w:val="DefaultParagraphFont"/>
  </w:style>
  <w:style w:type="character" w:customStyle="1" w:styleId="cat-UserDefinedgrp-45rplc-36">
    <w:name w:val="cat-UserDefined grp-45 rplc-36"/>
    <w:basedOn w:val="DefaultParagraphFont"/>
  </w:style>
  <w:style w:type="character" w:customStyle="1" w:styleId="cat-UserDefinedgrp-43rplc-39">
    <w:name w:val="cat-UserDefined grp-43 rplc-39"/>
    <w:basedOn w:val="DefaultParagraphFont"/>
  </w:style>
  <w:style w:type="character" w:customStyle="1" w:styleId="cat-UserDefinedgrp-46rplc-41">
    <w:name w:val="cat-UserDefined grp-46 rplc-41"/>
    <w:basedOn w:val="DefaultParagraphFont"/>
  </w:style>
  <w:style w:type="character" w:customStyle="1" w:styleId="cat-UserDefinedgrp-46rplc-43">
    <w:name w:val="cat-UserDefined grp-46 rplc-4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B534C-C085-43E0-A0B7-08006C83FE3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